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167788">
      <w:pPr>
        <w:spacing w:after="240"/>
        <w:jc w:val="center"/>
      </w:pPr>
      <w:r>
        <w:rPr>
          <w:rFonts w:hint="eastAsia" w:ascii="方正小标宋简体" w:hAnsi="方正小标宋简体" w:eastAsia="方正小标宋简体"/>
          <w:b/>
          <w:sz w:val="44"/>
        </w:rPr>
        <w:t>询价文件</w:t>
      </w:r>
    </w:p>
    <w:p w14:paraId="6532D5FF">
      <w:pPr>
        <w:spacing w:after="40" w:line="360" w:lineRule="auto"/>
      </w:pPr>
      <w:r>
        <w:rPr>
          <w:rFonts w:hint="eastAsia" w:ascii="宋体" w:hAnsi="宋体" w:eastAsia="宋体"/>
          <w:b w:val="0"/>
          <w:sz w:val="24"/>
        </w:rPr>
        <w:t>一、项目名称：中国药科大学玄武门校区食堂不锈钢制品采购</w:t>
      </w:r>
    </w:p>
    <w:p w14:paraId="2C3DCBEC">
      <w:pPr>
        <w:spacing w:after="40" w:line="360" w:lineRule="auto"/>
      </w:pPr>
      <w:r>
        <w:rPr>
          <w:rFonts w:hint="eastAsia" w:ascii="宋体" w:hAnsi="宋体" w:eastAsia="宋体"/>
          <w:b w:val="0"/>
          <w:sz w:val="24"/>
        </w:rPr>
        <w:t>二、项目需求：（参数、数量、交货期、价款支付方式、质保要求等）</w:t>
      </w:r>
    </w:p>
    <w:p w14:paraId="5BD76593">
      <w:pPr>
        <w:spacing w:after="40" w:line="360" w:lineRule="auto"/>
        <w:ind w:firstLine="480"/>
      </w:pPr>
      <w:r>
        <w:rPr>
          <w:rFonts w:hint="eastAsia" w:ascii="宋体" w:hAnsi="宋体" w:eastAsia="宋体"/>
          <w:b w:val="0"/>
          <w:sz w:val="24"/>
        </w:rPr>
        <w:t>中国药科大学玄武门校区食堂采购不锈钢制品，清单附后。</w:t>
      </w:r>
    </w:p>
    <w:p w14:paraId="29EDE35B">
      <w:pPr>
        <w:spacing w:after="40" w:line="360" w:lineRule="auto"/>
        <w:ind w:firstLine="480"/>
        <w:rPr>
          <w:rFonts w:hint="eastAsia" w:ascii="宋体" w:hAnsi="宋体" w:eastAsia="宋体"/>
          <w:b w:val="0"/>
          <w:sz w:val="24"/>
        </w:rPr>
      </w:pPr>
      <w:r>
        <w:rPr>
          <w:rFonts w:hint="eastAsia" w:ascii="宋体" w:hAnsi="宋体" w:eastAsia="宋体"/>
          <w:b w:val="0"/>
          <w:sz w:val="24"/>
        </w:rPr>
        <w:t>供应商根据清单要求填写品牌、单价、总价并插入产品图片或同类产品实物照片。供应商应随响应文件一并递交下列证明材料（加盖公章的复印件，原件备查）：①接触食品的不锈钢部件符合GB 4806.9-2023《食品安全国家标准 食品接触用金属材料及制品》的检测报告（六门更衣柜不直接接触食品，无需提供本项报告）；②所投产品不锈钢板材材质检测报告，材质应为SUS304（统一数字代号S30408）。上述检测报告须由具备CMA或CNAS资质的检验检测机构出具，并在有效期内。</w:t>
      </w:r>
    </w:p>
    <w:p w14:paraId="136D47B2">
      <w:pPr>
        <w:spacing w:after="40" w:line="360" w:lineRule="auto"/>
        <w:ind w:firstLine="480"/>
        <w:rPr>
          <w:rFonts w:hint="eastAsia" w:ascii="宋体" w:hAnsi="宋体" w:eastAsia="宋体"/>
          <w:b w:val="0"/>
          <w:sz w:val="24"/>
        </w:rPr>
      </w:pPr>
      <w:r>
        <w:rPr>
          <w:rFonts w:hint="eastAsia" w:ascii="宋体" w:hAnsi="宋体" w:eastAsia="宋体"/>
          <w:b w:val="0"/>
          <w:sz w:val="24"/>
        </w:rPr>
        <w:t>清单中标注★的不允许负偏离；未标注★的允许在±5%范围内偏离，须在响应文件中如实说明。</w:t>
      </w:r>
    </w:p>
    <w:p w14:paraId="77F2A042">
      <w:pPr>
        <w:spacing w:after="40" w:line="360" w:lineRule="auto"/>
        <w:ind w:firstLine="480"/>
      </w:pPr>
      <w:r>
        <w:rPr>
          <w:rFonts w:hint="eastAsia" w:ascii="宋体" w:hAnsi="宋体" w:eastAsia="宋体"/>
          <w:b w:val="0"/>
          <w:sz w:val="24"/>
        </w:rPr>
        <w:t>报价超过12万元视为无效响应，报价包含设备运输费、水电辅材费、安装费、调试费、培训费、税费及乙方所需的一切费用，甲方无需另行支付其他任何费用，质量和服务均能满足采购文件实质性响应要求且最低价为成交供应商。</w:t>
      </w:r>
    </w:p>
    <w:p w14:paraId="25ECF14D">
      <w:pPr>
        <w:spacing w:after="40" w:line="360" w:lineRule="auto"/>
        <w:ind w:firstLine="480"/>
      </w:pPr>
      <w:r>
        <w:rPr>
          <w:rFonts w:hint="eastAsia" w:ascii="宋体" w:hAnsi="宋体" w:eastAsia="宋体"/>
          <w:b w:val="0"/>
          <w:sz w:val="24"/>
        </w:rPr>
        <w:t>合同签订前需提供总价5%的履约保证金转账回执，合同签订（或学校通知日期）后11个工作日内完成设备运输到场、安装就位、水电接入及调试，确保食堂工作人员能够独立操作使用。</w:t>
      </w:r>
    </w:p>
    <w:p w14:paraId="21C90126">
      <w:pPr>
        <w:spacing w:after="40" w:line="360" w:lineRule="auto"/>
        <w:ind w:firstLine="480"/>
      </w:pPr>
      <w:r>
        <w:rPr>
          <w:rFonts w:hint="eastAsia" w:ascii="宋体" w:hAnsi="宋体" w:eastAsia="宋体"/>
          <w:b w:val="0"/>
          <w:sz w:val="24"/>
        </w:rPr>
        <w:t>设备运输到中国药科大学玄武门校区食堂后，根据清单要求核对随货资料（合格证、说明书等），并检查设备（包括测量尺寸、板材厚度实测、不锈钢材质试剂检测、焊缝检查、安装就位及稳定性检查等），验收不合格的，采购方不予签收，全部履约保证金不退还。</w:t>
      </w:r>
    </w:p>
    <w:p w14:paraId="357627E4">
      <w:pPr>
        <w:spacing w:after="40" w:line="360" w:lineRule="auto"/>
        <w:ind w:firstLine="480"/>
      </w:pPr>
      <w:r>
        <w:rPr>
          <w:rFonts w:hint="eastAsia" w:ascii="宋体" w:hAnsi="宋体" w:eastAsia="宋体"/>
          <w:b w:val="0"/>
          <w:sz w:val="24"/>
        </w:rPr>
        <w:t>验收合格后，供应商提供验收单、发票、设备照片、设备位置照片，采购方30日内办理付款手续。</w:t>
      </w:r>
    </w:p>
    <w:p w14:paraId="64DBDEFD">
      <w:pPr>
        <w:spacing w:after="40" w:line="360" w:lineRule="auto"/>
        <w:ind w:firstLine="480"/>
      </w:pPr>
      <w:r>
        <w:rPr>
          <w:rFonts w:hint="eastAsia" w:ascii="宋体" w:hAnsi="宋体" w:eastAsia="宋体"/>
          <w:b w:val="0"/>
          <w:sz w:val="24"/>
        </w:rPr>
        <w:t>质保期一年（验收合格之日起），质保期内供应商在接到报修电话后，4小时内响应并上门，一般故障12小时内修复，验收合格起满六个月且无未处理的质量问题，甲方在收到乙方书面退还申请后30日内无息退还履约保证金。</w:t>
      </w:r>
    </w:p>
    <w:p w14:paraId="00C95D5A">
      <w:pPr>
        <w:spacing w:after="40" w:line="360" w:lineRule="auto"/>
        <w:ind w:firstLine="480"/>
      </w:pPr>
      <w:r>
        <w:rPr>
          <w:rFonts w:hint="eastAsia" w:ascii="宋体" w:hAnsi="宋体" w:eastAsia="宋体"/>
          <w:b w:val="0"/>
          <w:sz w:val="24"/>
        </w:rPr>
        <w:t>供应商报价时需提供符合清单及项目需求，以及供应商自愿承担因违反需求或承诺而产生的全部责任的承诺书（签字盖章）。</w:t>
      </w:r>
    </w:p>
    <w:p w14:paraId="47003B43">
      <w:pPr>
        <w:spacing w:after="40" w:line="360" w:lineRule="auto"/>
      </w:pPr>
      <w:r>
        <w:rPr>
          <w:rFonts w:hint="eastAsia" w:ascii="宋体" w:hAnsi="宋体" w:eastAsia="宋体"/>
          <w:b w:val="0"/>
          <w:sz w:val="24"/>
        </w:rPr>
        <w:t>三、响应文件递交时间及地点：</w:t>
      </w:r>
    </w:p>
    <w:p w14:paraId="3C5F361F">
      <w:pPr>
        <w:spacing w:after="40" w:line="360" w:lineRule="auto"/>
        <w:ind w:firstLine="480"/>
      </w:pPr>
      <w:r>
        <w:rPr>
          <w:rFonts w:hint="eastAsia" w:ascii="宋体" w:hAnsi="宋体" w:eastAsia="宋体"/>
          <w:b w:val="0"/>
          <w:sz w:val="24"/>
        </w:rPr>
        <w:t>供应商须提交以下材料（加盖公章，密封递交）：营业执照副本复印件；报价明细表单；承诺书；法定代表人授权委托书（如需）；本项目第二条所列GB 4806.9-2023食品接触材料检测报告、SUS304不锈钢材质检测报告。未能提供的，视为不符合采购需求，其响应无效。</w:t>
      </w:r>
    </w:p>
    <w:p w14:paraId="05C96A80">
      <w:pPr>
        <w:spacing w:after="40" w:line="360" w:lineRule="auto"/>
        <w:ind w:left="480" w:leftChars="200" w:firstLine="0" w:firstLineChars="0"/>
      </w:pPr>
      <w:r>
        <w:rPr>
          <w:rFonts w:hint="eastAsia" w:ascii="宋体" w:hAnsi="宋体" w:eastAsia="宋体"/>
          <w:b w:val="0"/>
          <w:sz w:val="24"/>
        </w:rPr>
        <w:t>递交截止时间：2026年10月1</w:t>
      </w:r>
      <w:r>
        <w:rPr>
          <w:rFonts w:hint="eastAsia"/>
          <w:b w:val="0"/>
          <w:sz w:val="24"/>
          <w:lang w:val="en-US" w:eastAsia="zh-CN"/>
        </w:rPr>
        <w:t>5</w:t>
      </w:r>
      <w:r>
        <w:rPr>
          <w:rFonts w:hint="eastAsia" w:ascii="宋体" w:hAnsi="宋体" w:eastAsia="宋体"/>
          <w:b w:val="0"/>
          <w:sz w:val="24"/>
        </w:rPr>
        <w:t>日11:00（北京时间）。</w:t>
      </w:r>
      <w:r>
        <w:rPr>
          <w:rFonts w:hint="eastAsia" w:ascii="宋体" w:hAnsi="宋体" w:eastAsia="宋体"/>
          <w:b w:val="0"/>
          <w:sz w:val="24"/>
        </w:rPr>
        <w:br w:type="textWrapping"/>
      </w:r>
      <w:r>
        <w:rPr>
          <w:rFonts w:hint="eastAsia" w:ascii="宋体" w:hAnsi="宋体" w:eastAsia="宋体"/>
          <w:b w:val="0"/>
          <w:sz w:val="24"/>
        </w:rPr>
        <w:t>递交地点：南京</w:t>
      </w:r>
      <w:bookmarkStart w:id="0" w:name="_GoBack"/>
      <w:bookmarkEnd w:id="0"/>
      <w:r>
        <w:rPr>
          <w:rFonts w:hint="eastAsia" w:ascii="宋体" w:hAnsi="宋体" w:eastAsia="宋体"/>
          <w:b w:val="0"/>
          <w:sz w:val="24"/>
        </w:rPr>
        <w:t>市江宁区龙眠大道639号，中国药科大学行政楼327室。</w:t>
      </w:r>
    </w:p>
    <w:sectPr>
      <w:pgSz w:w="12240" w:h="15840"/>
      <w:pgMar w:top="1417" w:right="1587" w:bottom="1417"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Cambria">
    <w:panose1 w:val="02040503050406030204"/>
    <w:charset w:val="00"/>
    <w:family w:val="auto"/>
    <w:pitch w:val="default"/>
    <w:sig w:usb0="E00006FF" w:usb1="420024FF" w:usb2="02000000" w:usb3="00000000" w:csb0="2000019F" w:csb1="00000000"/>
  </w:font>
  <w:font w:name="方正小标宋简体">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4F80BA3"/>
    <w:rsid w:val="0A375FB3"/>
    <w:rsid w:val="53A45E89"/>
    <w:rsid w:val="56C5567D"/>
    <w:rsid w:val="6D111258"/>
  </w:rsids>
  <m:mathPr>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4"/>
      <w:szCs w:val="22"/>
      <w:lang w:val="en-US" w:eastAsia="en-US" w:bidi="ar-SA"/>
    </w:rPr>
  </w:style>
  <w:style w:type="paragraph" w:styleId="3">
    <w:name w:val="heading 1"/>
    <w:basedOn w:val="1"/>
    <w:next w:val="1"/>
    <w:link w:val="16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5"/>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6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43"/>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8"/>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4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39"/>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48"/>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0"/>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55"/>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63"/>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9"/>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45"/>
    <w:unhideWhenUsed/>
    <w:qFormat/>
    <w:uiPriority w:val="99"/>
    <w:pPr>
      <w:tabs>
        <w:tab w:val="center" w:pos="4680"/>
        <w:tab w:val="right" w:pos="9360"/>
      </w:tabs>
      <w:spacing w:after="0" w:line="240" w:lineRule="auto"/>
    </w:pPr>
  </w:style>
  <w:style w:type="paragraph" w:styleId="25">
    <w:name w:val="header"/>
    <w:basedOn w:val="1"/>
    <w:link w:val="151"/>
    <w:unhideWhenUsed/>
    <w:qFormat/>
    <w:uiPriority w:val="99"/>
    <w:pPr>
      <w:tabs>
        <w:tab w:val="center" w:pos="4680"/>
        <w:tab w:val="right" w:pos="9360"/>
      </w:tabs>
      <w:spacing w:after="0" w:line="240" w:lineRule="auto"/>
    </w:pPr>
  </w:style>
  <w:style w:type="paragraph" w:styleId="26">
    <w:name w:val="Subtitle"/>
    <w:basedOn w:val="1"/>
    <w:next w:val="1"/>
    <w:link w:val="15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54"/>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56"/>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36">
    <w:name w:val="Intense Quote Char"/>
    <w:basedOn w:val="132"/>
    <w:link w:val="137"/>
    <w:qFormat/>
    <w:uiPriority w:val="30"/>
    <w:rPr>
      <w:b/>
      <w:bCs/>
      <w:i/>
      <w:iCs/>
      <w:color w:val="4F81BD" w:themeColor="accent1"/>
      <w14:textFill>
        <w14:solidFill>
          <w14:schemeClr w14:val="accent1"/>
        </w14:solidFill>
      </w14:textFill>
    </w:rPr>
  </w:style>
  <w:style w:type="paragraph" w:styleId="137">
    <w:name w:val="Intense Quote"/>
    <w:basedOn w:val="1"/>
    <w:next w:val="1"/>
    <w:link w:val="136"/>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paragraph" w:customStyle="1" w:styleId="138">
    <w:name w:val="TOC Heading"/>
    <w:basedOn w:val="3"/>
    <w:next w:val="1"/>
    <w:semiHidden/>
    <w:unhideWhenUsed/>
    <w:qFormat/>
    <w:uiPriority w:val="39"/>
    <w:pPr>
      <w:outlineLvl w:val="9"/>
    </w:pPr>
  </w:style>
  <w:style w:type="character" w:customStyle="1" w:styleId="139">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40">
    <w:name w:val="Quote"/>
    <w:basedOn w:val="1"/>
    <w:next w:val="1"/>
    <w:link w:val="141"/>
    <w:qFormat/>
    <w:uiPriority w:val="29"/>
    <w:rPr>
      <w:i/>
      <w:iCs/>
      <w:color w:val="000000" w:themeColor="text1"/>
      <w14:textFill>
        <w14:solidFill>
          <w14:schemeClr w14:val="tx1"/>
        </w14:solidFill>
      </w14:textFill>
    </w:rPr>
  </w:style>
  <w:style w:type="character" w:customStyle="1" w:styleId="141">
    <w:name w:val="Quote Char"/>
    <w:basedOn w:val="132"/>
    <w:link w:val="140"/>
    <w:qFormat/>
    <w:uiPriority w:val="29"/>
    <w:rPr>
      <w:i/>
      <w:iCs/>
      <w:color w:val="000000" w:themeColor="text1"/>
      <w14:textFill>
        <w14:solidFill>
          <w14:schemeClr w14:val="tx1"/>
        </w14:solidFill>
      </w14:textFill>
    </w:rPr>
  </w:style>
  <w:style w:type="character" w:customStyle="1" w:styleId="14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43">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44">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45">
    <w:name w:val="Footer Char"/>
    <w:basedOn w:val="132"/>
    <w:link w:val="24"/>
    <w:qFormat/>
    <w:uiPriority w:val="99"/>
  </w:style>
  <w:style w:type="character" w:customStyle="1" w:styleId="146">
    <w:name w:val="Intense Emphasis"/>
    <w:basedOn w:val="132"/>
    <w:qFormat/>
    <w:uiPriority w:val="21"/>
    <w:rPr>
      <w:b/>
      <w:bCs/>
      <w:i/>
      <w:iCs/>
      <w:color w:val="4F81BD" w:themeColor="accent1"/>
      <w14:textFill>
        <w14:solidFill>
          <w14:schemeClr w14:val="accent1"/>
        </w14:solidFill>
      </w14:textFill>
    </w:rPr>
  </w:style>
  <w:style w:type="paragraph" w:styleId="147">
    <w:name w:val="List Paragraph"/>
    <w:basedOn w:val="1"/>
    <w:qFormat/>
    <w:uiPriority w:val="34"/>
    <w:pPr>
      <w:ind w:left="720"/>
      <w:contextualSpacing/>
    </w:pPr>
  </w:style>
  <w:style w:type="character" w:customStyle="1" w:styleId="148">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49">
    <w:name w:val="Body Text Char"/>
    <w:basedOn w:val="132"/>
    <w:link w:val="19"/>
    <w:qFormat/>
    <w:uiPriority w:val="99"/>
  </w:style>
  <w:style w:type="character" w:customStyle="1" w:styleId="150">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151">
    <w:name w:val="Header Char"/>
    <w:basedOn w:val="132"/>
    <w:link w:val="25"/>
    <w:qFormat/>
    <w:uiPriority w:val="99"/>
  </w:style>
  <w:style w:type="paragraph" w:styleId="152">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53">
    <w:name w:val="Subtle Reference"/>
    <w:basedOn w:val="132"/>
    <w:qFormat/>
    <w:uiPriority w:val="31"/>
    <w:rPr>
      <w:smallCaps/>
      <w:color w:val="C0504D" w:themeColor="accent2"/>
      <w:u w:val="single"/>
      <w14:textFill>
        <w14:solidFill>
          <w14:schemeClr w14:val="accent2"/>
        </w14:solidFill>
      </w14:textFill>
    </w:rPr>
  </w:style>
  <w:style w:type="character" w:customStyle="1" w:styleId="154">
    <w:name w:val="Body Text 2 Char"/>
    <w:basedOn w:val="132"/>
    <w:link w:val="28"/>
    <w:qFormat/>
    <w:uiPriority w:val="99"/>
  </w:style>
  <w:style w:type="character" w:customStyle="1" w:styleId="155">
    <w:name w:val="Macro Text Char"/>
    <w:basedOn w:val="132"/>
    <w:link w:val="2"/>
    <w:qFormat/>
    <w:uiPriority w:val="99"/>
    <w:rPr>
      <w:rFonts w:ascii="Courier" w:hAnsi="Courier"/>
      <w:sz w:val="20"/>
      <w:szCs w:val="20"/>
    </w:rPr>
  </w:style>
  <w:style w:type="character" w:customStyle="1" w:styleId="156">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57">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158">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9">
    <w:name w:val="Book Title"/>
    <w:basedOn w:val="132"/>
    <w:qFormat/>
    <w:uiPriority w:val="33"/>
    <w:rPr>
      <w:b/>
      <w:bCs/>
      <w:smallCaps/>
      <w:spacing w:val="5"/>
    </w:rPr>
  </w:style>
  <w:style w:type="character" w:customStyle="1" w:styleId="160">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61">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62">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63">
    <w:name w:val="Body Text 3 Char"/>
    <w:basedOn w:val="132"/>
    <w:link w:val="17"/>
    <w:qFormat/>
    <w:uiPriority w:val="99"/>
    <w:rPr>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Words>1004</Words>
  <Characters>1066</Characters>
  <TotalTime>13</TotalTime>
  <ScaleCrop>false</ScaleCrop>
  <LinksUpToDate>false</LinksUpToDate>
  <CharactersWithSpaces>1069</CharactersWithSpaces>
  <Application>WPS Office_12.1.0.18276_F1E327BC-269C-435d-A152-05C5408002CA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2026-09-30T20:15:00Z</dcterms:created>
  <dc:creator>Administrator</dc:creator>
  <cp:lastModifiedBy>宋XY</cp:lastModifiedBy>
  <dcterms:modified xsi:type="dcterms:W3CDTF">2026-10-08T05:53:55Z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eyJoZGlkIjoiNGQ5OTQ3NDMzYmY1MjYwNTg0MDUzOTA0NjUyMTAyYmEiLCJ1c2VySWQiOiIxNTIyMzUwMTgifQ==</vt:lpwstr>
  </property>
  <property fmtid="{D5CDD505-2E9C-101B-9397-08002B2CF9AE}" pid="3" name="KSOProductBuildVer">
    <vt:lpwstr>2052-12.1.0.18276</vt:lpwstr>
  </property>
  <property fmtid="{D5CDD505-2E9C-101B-9397-08002B2CF9AE}" pid="4" name="ICV">
    <vt:lpwstr>4771A8BB04AB44A29CAC152F14C9B194_13</vt:lpwstr>
  </property>
</Properties>
</file>