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EDE35">
      <w:pPr>
        <w:spacing w:after="240"/>
        <w:jc w:val="center"/>
      </w:pPr>
      <w:bookmarkStart w:id="0" w:name="_GoBack"/>
      <w:bookmarkEnd w:id="0"/>
      <w:r>
        <w:rPr>
          <w:rFonts w:hint="eastAsia" w:ascii="方正小标宋简体" w:hAnsi="方正小标宋简体" w:eastAsia="方正小标宋简体"/>
          <w:b/>
          <w:sz w:val="44"/>
        </w:rPr>
        <w:t>设 备 采 购 合 同</w:t>
      </w:r>
    </w:p>
    <w:p w14:paraId="08D926B4"/>
    <w:p w14:paraId="0C3254D8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甲方：   中国药科大学                  乙方：</w:t>
      </w:r>
    </w:p>
    <w:p w14:paraId="4BCF3D07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交货地址： 南京市鼓楼区中央路童家巷24号中国药科大学玄武门校区新食堂</w:t>
      </w:r>
    </w:p>
    <w:p w14:paraId="1864A9B0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一、设备清单及价格：</w:t>
      </w:r>
    </w:p>
    <w:p w14:paraId="587B97D9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　　　总价：      元，大写             。清单附后。</w:t>
      </w:r>
    </w:p>
    <w:p w14:paraId="2BCB4B43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　　　报价包含设备运输费、水电辅材费、调试费、培训费、税费及乙方所需的一切费用，甲方无需另行支付其他任何费用。合同签订前需提供总价5%的履约保证金转账回执。</w:t>
      </w:r>
    </w:p>
    <w:p w14:paraId="1D8030D7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二、交货时间：</w:t>
      </w:r>
    </w:p>
    <w:p w14:paraId="7A6C7B33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　　　合同签订（或学校通知日期）后</w:t>
      </w:r>
      <w:r>
        <w:rPr>
          <w:rFonts w:hint="eastAsia"/>
          <w:b w:val="0"/>
          <w:sz w:val="24"/>
          <w:lang w:val="en-US" w:eastAsia="zh-CN"/>
        </w:rPr>
        <w:t>7</w:t>
      </w:r>
      <w:r>
        <w:rPr>
          <w:rFonts w:hint="eastAsia" w:ascii="宋体" w:hAnsi="宋体" w:eastAsia="宋体"/>
          <w:b w:val="0"/>
          <w:sz w:val="24"/>
        </w:rPr>
        <w:t>个工作日内完成设备运输到场、水电接入、调试及培训，确保食堂工作人员能够独立操作使用，乙方逾期交货的，每逾期一日按合同总价的0.5‰支付违约金；逾期超过30日的，甲方有权解除合同。</w:t>
      </w:r>
    </w:p>
    <w:p w14:paraId="6CAEA33E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三、质保约定：</w:t>
      </w:r>
    </w:p>
    <w:p w14:paraId="793D9C77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　　　质保期三年（验收合格之日起），其中压缩机等主要部件不少于五年，质保期内供应商在接到报修电话后，4小时内响应并上门，一般故障12小时内修复，验收合格满一年且无未处理的质量问题，甲方在收到乙方书面退还申请后30日内无息退还履约保证金。</w:t>
      </w:r>
    </w:p>
    <w:p w14:paraId="68FADBC3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四、付款方式：</w:t>
      </w:r>
    </w:p>
    <w:p w14:paraId="772C7D09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　　　验收合格后，供应商提供验收单、发票、铭牌</w:t>
      </w:r>
      <w:r>
        <w:rPr>
          <w:rFonts w:hint="eastAsia"/>
          <w:b w:val="0"/>
          <w:sz w:val="24"/>
          <w:lang w:val="en-US" w:eastAsia="zh-CN"/>
        </w:rPr>
        <w:t>照片</w:t>
      </w:r>
      <w:r>
        <w:rPr>
          <w:rFonts w:hint="eastAsia" w:ascii="宋体" w:hAnsi="宋体" w:eastAsia="宋体"/>
          <w:b w:val="0"/>
          <w:sz w:val="24"/>
        </w:rPr>
        <w:t>、设备位置照片，采购方在30日内办理付款手续。</w:t>
      </w:r>
    </w:p>
    <w:p w14:paraId="7FA74767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五、双方约定的其它事项：</w:t>
      </w:r>
    </w:p>
    <w:p w14:paraId="5D00D1C3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本合同、询价文件、响应文件及双方在合同履行中签署的补充协议、往来函件，共同构成本次设备采购的完整协议，具有同等法律效力，互为解释和补充。上述文件内容如存在不一致或矛盾之处，应按照合同目的和诚实信用原则进行解释。乙方随响应文件提交的产品认证证书（或型式检验报告）、GB 4806.9-2023食品接触材料检测报告及SUS304不锈钢材质检测报告，作为本合同附件；乙方保证所交付设备与上述材料所载内容一致，不一致的，甲方有权不予签收并按验收不合格处理。</w:t>
      </w:r>
    </w:p>
    <w:p w14:paraId="6DF238BF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六、纠纷的解决：</w:t>
      </w:r>
    </w:p>
    <w:p w14:paraId="0A3B1428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　　　在发生设备的质量及售后服务等问题时，乙方有义务全力解决，符合合同约定的质量标准。当发生异议时，双方签订必要的书面处理协议，如协商不成，双方同意向甲方所在地人民法院提起诉讼。</w:t>
      </w:r>
    </w:p>
    <w:p w14:paraId="70F6A18A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七、本合同一式三份，双方签字盖章后生效。甲方执两份，乙方执一份。</w:t>
      </w:r>
    </w:p>
    <w:p w14:paraId="0E804534"/>
    <w:p w14:paraId="5EEB70F0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甲  方：（盖章）                          乙  方：（盖章）</w:t>
      </w:r>
    </w:p>
    <w:p w14:paraId="563F7C70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代表人：                                 代表人：</w:t>
      </w:r>
    </w:p>
    <w:p w14:paraId="079391B5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电  话：                                 电  话：</w:t>
      </w:r>
    </w:p>
    <w:p w14:paraId="1B4F9F2D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　　　　　　　　　　　　　　　　　　　　　　　签订日期：     年   月   日</w:t>
      </w:r>
    </w:p>
    <w:p w14:paraId="35004899"/>
    <w:p w14:paraId="425EEE2A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附件：设备清单及价格明细</w:t>
      </w:r>
    </w:p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39D24ED"/>
    <w:rsid w:val="70F2289F"/>
    <w:rsid w:val="7E740B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55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6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5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35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48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39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4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3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0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63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9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4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4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5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50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6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9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40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41">
    <w:name w:val="Header Char"/>
    <w:basedOn w:val="132"/>
    <w:link w:val="25"/>
    <w:qFormat/>
    <w:uiPriority w:val="99"/>
  </w:style>
  <w:style w:type="character" w:customStyle="1" w:styleId="142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3">
    <w:name w:val="Intense Quote"/>
    <w:basedOn w:val="1"/>
    <w:next w:val="1"/>
    <w:link w:val="152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paragraph" w:styleId="145">
    <w:name w:val="Quote"/>
    <w:basedOn w:val="1"/>
    <w:next w:val="1"/>
    <w:link w:val="16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6">
    <w:name w:val="Footer Char"/>
    <w:basedOn w:val="132"/>
    <w:link w:val="24"/>
    <w:qFormat/>
    <w:uiPriority w:val="99"/>
  </w:style>
  <w:style w:type="character" w:customStyle="1" w:styleId="147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48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49">
    <w:name w:val="Body Text Char"/>
    <w:basedOn w:val="132"/>
    <w:link w:val="19"/>
    <w:qFormat/>
    <w:uiPriority w:val="99"/>
  </w:style>
  <w:style w:type="character" w:customStyle="1" w:styleId="150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5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Intense Quote Char"/>
    <w:basedOn w:val="132"/>
    <w:link w:val="143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5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54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5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6">
    <w:name w:val="Body Text 2 Char"/>
    <w:basedOn w:val="132"/>
    <w:link w:val="28"/>
    <w:qFormat/>
    <w:uiPriority w:val="99"/>
  </w:style>
  <w:style w:type="character" w:customStyle="1" w:styleId="157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List Paragraph"/>
    <w:basedOn w:val="1"/>
    <w:qFormat/>
    <w:uiPriority w:val="34"/>
    <w:pPr>
      <w:ind w:left="720"/>
      <w:contextualSpacing/>
    </w:pPr>
  </w:style>
  <w:style w:type="character" w:customStyle="1" w:styleId="160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61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62">
    <w:name w:val="Quote Char"/>
    <w:basedOn w:val="132"/>
    <w:link w:val="145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63">
    <w:name w:val="Body Text 3 Char"/>
    <w:basedOn w:val="132"/>
    <w:link w:val="17"/>
    <w:uiPriority w:val="99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820</Words>
  <Characters>844</Characters>
  <TotalTime>0</TotalTime>
  <ScaleCrop>false</ScaleCrop>
  <LinksUpToDate>false</LinksUpToDate>
  <CharactersWithSpaces>1043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2026-09-30T10:51:00Z</dcterms:created>
  <dc:creator>Administrator</dc:creator>
  <cp:lastModifiedBy>宋XY</cp:lastModifiedBy>
  <dcterms:modified xsi:type="dcterms:W3CDTF">2026-10-08T06:16:12Z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eyJoZGlkIjoiNDJmZTVkZTcwZjdkNjk4OWEzZmYzNzA4YTY1NWMyYTgiLCJ1c2VySWQiOiIxNTIyMzUwMTgifQ==</vt:lpwstr>
  </property>
  <property fmtid="{D5CDD505-2E9C-101B-9397-08002B2CF9AE}" pid="3" name="KSOProductBuildVer">
    <vt:lpwstr>2052-12.1.0.18276</vt:lpwstr>
  </property>
  <property fmtid="{D5CDD505-2E9C-101B-9397-08002B2CF9AE}" pid="4" name="ICV">
    <vt:lpwstr>56B1FFEA6CC14169AACF17013C73DF4A_13</vt:lpwstr>
  </property>
</Properties>
</file>